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44" w:rsidRDefault="00435344" w:rsidP="00435344">
      <w:pPr>
        <w:keepNext/>
        <w:tabs>
          <w:tab w:val="left" w:pos="5954"/>
          <w:tab w:val="right" w:pos="9356"/>
        </w:tabs>
        <w:jc w:val="center"/>
        <w:outlineLvl w:val="1"/>
        <w:rPr>
          <w:rFonts w:ascii="Bookman" w:hAnsi="Bookman"/>
          <w:b/>
        </w:rPr>
      </w:pPr>
      <w:r>
        <w:rPr>
          <w:rFonts w:ascii="Bookman" w:hAnsi="Bookman"/>
          <w:b/>
        </w:rPr>
        <w:t>STUDIO LEGALE ARGENTO</w:t>
      </w:r>
    </w:p>
    <w:p w:rsidR="00435344" w:rsidRDefault="00435344" w:rsidP="00435344">
      <w:pPr>
        <w:ind w:right="638"/>
        <w:jc w:val="center"/>
        <w:rPr>
          <w:rFonts w:ascii="Tahoma" w:eastAsia="Times New Roman" w:hAnsi="Tahoma" w:cs="Tahoma"/>
          <w:sz w:val="16"/>
          <w:szCs w:val="16"/>
          <w:lang w:eastAsia="it-IT"/>
        </w:rPr>
      </w:pPr>
      <w:r>
        <w:rPr>
          <w:rFonts w:ascii="Tahoma" w:eastAsia="Times New Roman" w:hAnsi="Tahoma" w:cs="Tahoma"/>
          <w:sz w:val="16"/>
          <w:szCs w:val="16"/>
        </w:rPr>
        <w:t>Via C. Battisti n. 31 Pescara - Tel. / Fax 085.44.29.997 -</w:t>
      </w:r>
    </w:p>
    <w:p w:rsidR="00435344" w:rsidRPr="00435344" w:rsidRDefault="00435344" w:rsidP="00435344">
      <w:pPr>
        <w:ind w:right="638"/>
        <w:jc w:val="center"/>
        <w:rPr>
          <w:rStyle w:val="Collegamentoipertestuale"/>
          <w:color w:val="auto"/>
          <w:u w:val="none"/>
        </w:rPr>
      </w:pPr>
      <w:r>
        <w:rPr>
          <w:rFonts w:ascii="Tahoma" w:eastAsia="Times New Roman" w:hAnsi="Tahoma" w:cs="Tahoma"/>
          <w:sz w:val="16"/>
          <w:szCs w:val="16"/>
        </w:rPr>
        <w:t xml:space="preserve">E-MAIL: emanueleargento@virgilio.it - PEC: </w:t>
      </w:r>
      <w:hyperlink r:id="rId5" w:history="1">
        <w:r w:rsidRPr="00435344">
          <w:rPr>
            <w:rStyle w:val="Collegamentoipertestuale"/>
            <w:rFonts w:ascii="Tahoma" w:eastAsia="Times New Roman" w:hAnsi="Tahoma" w:cs="Tahoma"/>
            <w:color w:val="auto"/>
            <w:sz w:val="16"/>
            <w:szCs w:val="16"/>
            <w:u w:val="none"/>
          </w:rPr>
          <w:t>avvemanueleargento@pec.giuffre.it</w:t>
        </w:r>
      </w:hyperlink>
      <w:r w:rsidRPr="00435344">
        <w:rPr>
          <w:rStyle w:val="Collegamentoipertestuale"/>
          <w:rFonts w:ascii="Tahoma" w:eastAsia="Times New Roman" w:hAnsi="Tahoma" w:cs="Tahoma"/>
          <w:color w:val="auto"/>
          <w:sz w:val="16"/>
          <w:szCs w:val="16"/>
          <w:u w:val="none"/>
        </w:rPr>
        <w:t xml:space="preserve"> </w:t>
      </w:r>
    </w:p>
    <w:p w:rsidR="00435344" w:rsidRDefault="00646A9F" w:rsidP="00435344">
      <w:pPr>
        <w:ind w:right="638"/>
        <w:jc w:val="center"/>
      </w:pPr>
      <w:hyperlink r:id="rId6" w:history="1">
        <w:r w:rsidR="00435344" w:rsidRPr="00435344">
          <w:rPr>
            <w:rStyle w:val="Collegamentoipertestuale"/>
            <w:rFonts w:ascii="Tahoma" w:hAnsi="Tahoma" w:cs="Tahoma"/>
            <w:bCs/>
            <w:color w:val="auto"/>
            <w:spacing w:val="8"/>
            <w:u w:val="none"/>
          </w:rPr>
          <w:t>www.avvocato</w:t>
        </w:r>
      </w:hyperlink>
      <w:r w:rsidR="00435344" w:rsidRPr="00435344">
        <w:rPr>
          <w:rFonts w:ascii="Tahoma" w:hAnsi="Tahoma" w:cs="Tahoma"/>
          <w:bCs/>
          <w:spacing w:val="8"/>
        </w:rPr>
        <w:t>arge</w:t>
      </w:r>
      <w:r w:rsidR="00435344" w:rsidRPr="00353F9A">
        <w:rPr>
          <w:rFonts w:ascii="Tahoma" w:hAnsi="Tahoma" w:cs="Tahoma"/>
          <w:bCs/>
          <w:spacing w:val="8"/>
        </w:rPr>
        <w:t xml:space="preserve">nto.it </w:t>
      </w:r>
    </w:p>
    <w:p w:rsidR="00435344" w:rsidRDefault="00435344">
      <w:pPr>
        <w:jc w:val="center"/>
        <w:rPr>
          <w:sz w:val="36"/>
          <w:szCs w:val="36"/>
        </w:rPr>
      </w:pPr>
    </w:p>
    <w:p w:rsidR="00B857CB" w:rsidRPr="00435344" w:rsidRDefault="00435344" w:rsidP="00435344">
      <w:pPr>
        <w:jc w:val="center"/>
        <w:rPr>
          <w:sz w:val="36"/>
          <w:szCs w:val="36"/>
          <w:u w:val="single"/>
        </w:rPr>
      </w:pPr>
      <w:r w:rsidRPr="00435344">
        <w:rPr>
          <w:sz w:val="36"/>
          <w:szCs w:val="36"/>
          <w:u w:val="single"/>
        </w:rPr>
        <w:t>DECRETO LEGGE LIQUIDITA’ 8.04.2020 N. 23</w:t>
      </w:r>
    </w:p>
    <w:p w:rsidR="00B857CB" w:rsidRDefault="00B857CB">
      <w:pPr>
        <w:jc w:val="both"/>
      </w:pPr>
    </w:p>
    <w:p w:rsidR="00B857CB" w:rsidRPr="00435344" w:rsidRDefault="00435344" w:rsidP="00435344">
      <w:pPr>
        <w:jc w:val="center"/>
        <w:rPr>
          <w:b/>
          <w:sz w:val="28"/>
          <w:szCs w:val="28"/>
          <w:u w:val="single"/>
        </w:rPr>
      </w:pPr>
      <w:r w:rsidRPr="00435344">
        <w:rPr>
          <w:b/>
          <w:sz w:val="28"/>
          <w:szCs w:val="28"/>
          <w:u w:val="single"/>
        </w:rPr>
        <w:t>Analisi dell’art. 13, comma 1, lettere g) ed m) e correlazioni giuridiche</w:t>
      </w:r>
    </w:p>
    <w:p w:rsidR="00B857CB" w:rsidRDefault="00B857CB">
      <w:pPr>
        <w:jc w:val="both"/>
        <w:rPr>
          <w:b/>
          <w:sz w:val="28"/>
          <w:szCs w:val="28"/>
        </w:rPr>
      </w:pPr>
    </w:p>
    <w:p w:rsidR="00646A9F" w:rsidRPr="00646A9F" w:rsidRDefault="00646A9F" w:rsidP="00646A9F">
      <w:pPr>
        <w:autoSpaceDE w:val="0"/>
        <w:autoSpaceDN w:val="0"/>
        <w:adjustRightInd w:val="0"/>
        <w:jc w:val="both"/>
        <w:rPr>
          <w:rFonts w:eastAsiaTheme="minorHAnsi"/>
          <w:b/>
          <w:bCs/>
          <w:sz w:val="24"/>
          <w:szCs w:val="24"/>
          <w:u w:val="single"/>
        </w:rPr>
      </w:pPr>
      <w:r w:rsidRPr="00646A9F">
        <w:rPr>
          <w:sz w:val="24"/>
          <w:szCs w:val="24"/>
        </w:rPr>
        <w:t>Si illustrano</w:t>
      </w:r>
      <w:r>
        <w:rPr>
          <w:sz w:val="24"/>
          <w:szCs w:val="24"/>
        </w:rPr>
        <w:t xml:space="preserve"> alcune valide considerazioni scritte dal Dott. Commercialista Sergio Iaconi che possono essere di aiuto per comprendere la norma in parola</w:t>
      </w:r>
      <w:bookmarkStart w:id="0" w:name="_GoBack"/>
      <w:bookmarkEnd w:id="0"/>
      <w:r w:rsidRPr="00646A9F">
        <w:rPr>
          <w:sz w:val="24"/>
          <w:szCs w:val="24"/>
        </w:rPr>
        <w:t>.</w:t>
      </w:r>
    </w:p>
    <w:p w:rsidR="00B857CB" w:rsidRPr="00646A9F" w:rsidRDefault="00435344">
      <w:pPr>
        <w:jc w:val="both"/>
        <w:rPr>
          <w:sz w:val="24"/>
          <w:szCs w:val="24"/>
        </w:rPr>
      </w:pPr>
      <w:r w:rsidRPr="00646A9F">
        <w:rPr>
          <w:sz w:val="24"/>
          <w:szCs w:val="24"/>
        </w:rPr>
        <w:t xml:space="preserve">Da una lettura analitica di quanto disposto dall’art. 13 del DL 08.04.2020 N. 23 e più precisamente da un collegamento ermeneutico letterale tra l’art. 13, comma 1, lettera g) e l’art. 13 comma 1, lettera m) si evince quanto segue: </w:t>
      </w:r>
    </w:p>
    <w:p w:rsidR="00B857CB" w:rsidRPr="00646A9F" w:rsidRDefault="00435344">
      <w:pPr>
        <w:pStyle w:val="Paragrafoelenco"/>
        <w:numPr>
          <w:ilvl w:val="0"/>
          <w:numId w:val="1"/>
        </w:numPr>
        <w:jc w:val="both"/>
        <w:rPr>
          <w:sz w:val="24"/>
          <w:szCs w:val="24"/>
        </w:rPr>
      </w:pPr>
      <w:r w:rsidRPr="00646A9F">
        <w:rPr>
          <w:sz w:val="24"/>
          <w:szCs w:val="24"/>
        </w:rPr>
        <w:t>La lettera g) nelle prime righe della medesima precisa “</w:t>
      </w:r>
      <w:r w:rsidRPr="00646A9F">
        <w:rPr>
          <w:b/>
          <w:bCs/>
          <w:sz w:val="24"/>
          <w:szCs w:val="24"/>
        </w:rPr>
        <w:t>e fatto salvo quanto previsto per le operazioni finanziarie di cui alla lettera m)</w:t>
      </w:r>
      <w:r w:rsidRPr="00646A9F">
        <w:rPr>
          <w:sz w:val="24"/>
          <w:szCs w:val="24"/>
        </w:rPr>
        <w:t xml:space="preserve">“, per cui la disciplina di cui alla lettera g)  riguardante la disciplina delle esposizioni nei confronti del soggetto finanziatore </w:t>
      </w:r>
      <w:r w:rsidRPr="00646A9F">
        <w:rPr>
          <w:b/>
          <w:bCs/>
          <w:sz w:val="24"/>
          <w:szCs w:val="24"/>
        </w:rPr>
        <w:t>classificate</w:t>
      </w:r>
      <w:r w:rsidRPr="00646A9F">
        <w:rPr>
          <w:sz w:val="24"/>
          <w:szCs w:val="24"/>
        </w:rPr>
        <w:t xml:space="preserve">  come </w:t>
      </w:r>
      <w:r w:rsidRPr="00646A9F">
        <w:rPr>
          <w:b/>
          <w:bCs/>
          <w:sz w:val="24"/>
          <w:szCs w:val="24"/>
        </w:rPr>
        <w:t>inadempienze improbabili</w:t>
      </w:r>
      <w:r w:rsidRPr="00646A9F">
        <w:rPr>
          <w:sz w:val="24"/>
          <w:szCs w:val="24"/>
        </w:rPr>
        <w:t xml:space="preserve"> o </w:t>
      </w:r>
      <w:r w:rsidRPr="00646A9F">
        <w:rPr>
          <w:b/>
          <w:bCs/>
          <w:sz w:val="24"/>
          <w:szCs w:val="24"/>
        </w:rPr>
        <w:t xml:space="preserve">scadute </w:t>
      </w:r>
      <w:r w:rsidRPr="00646A9F">
        <w:rPr>
          <w:sz w:val="24"/>
          <w:szCs w:val="24"/>
        </w:rPr>
        <w:t xml:space="preserve">o </w:t>
      </w:r>
      <w:r w:rsidRPr="00646A9F">
        <w:rPr>
          <w:b/>
          <w:bCs/>
          <w:sz w:val="24"/>
          <w:szCs w:val="24"/>
        </w:rPr>
        <w:t>sconfinanti precedenti</w:t>
      </w:r>
      <w:r w:rsidRPr="00646A9F">
        <w:rPr>
          <w:sz w:val="24"/>
          <w:szCs w:val="24"/>
        </w:rPr>
        <w:t xml:space="preserve"> alla data del </w:t>
      </w:r>
      <w:r w:rsidRPr="00646A9F">
        <w:rPr>
          <w:b/>
          <w:bCs/>
          <w:sz w:val="24"/>
          <w:szCs w:val="24"/>
        </w:rPr>
        <w:t>31.01.2020</w:t>
      </w:r>
      <w:r w:rsidRPr="00646A9F">
        <w:rPr>
          <w:sz w:val="24"/>
          <w:szCs w:val="24"/>
        </w:rPr>
        <w:t xml:space="preserve">, o ancor peggio </w:t>
      </w:r>
      <w:r w:rsidRPr="00646A9F">
        <w:rPr>
          <w:b/>
          <w:bCs/>
          <w:sz w:val="24"/>
          <w:szCs w:val="24"/>
        </w:rPr>
        <w:t xml:space="preserve">classificate </w:t>
      </w:r>
      <w:r w:rsidRPr="00646A9F">
        <w:rPr>
          <w:sz w:val="24"/>
          <w:szCs w:val="24"/>
        </w:rPr>
        <w:t xml:space="preserve">come </w:t>
      </w:r>
      <w:r w:rsidRPr="00646A9F">
        <w:rPr>
          <w:b/>
          <w:bCs/>
          <w:sz w:val="24"/>
          <w:szCs w:val="24"/>
        </w:rPr>
        <w:t>sofferenze</w:t>
      </w:r>
      <w:r w:rsidRPr="00646A9F">
        <w:rPr>
          <w:sz w:val="24"/>
          <w:szCs w:val="24"/>
        </w:rPr>
        <w:t xml:space="preserve"> (</w:t>
      </w:r>
      <w:r w:rsidRPr="00646A9F">
        <w:rPr>
          <w:b/>
          <w:bCs/>
          <w:sz w:val="24"/>
          <w:szCs w:val="24"/>
          <w:u w:val="single"/>
        </w:rPr>
        <w:t>solo riferite ad imprese e non ad artisti e professionisti</w:t>
      </w:r>
      <w:r w:rsidRPr="00646A9F">
        <w:rPr>
          <w:sz w:val="24"/>
          <w:szCs w:val="24"/>
        </w:rPr>
        <w:t xml:space="preserve">) dalla disciplina bancaria non risulta applicabile a quanto disposto dalla lettera </w:t>
      </w:r>
      <w:r w:rsidRPr="00646A9F">
        <w:rPr>
          <w:b/>
          <w:bCs/>
          <w:sz w:val="24"/>
          <w:szCs w:val="24"/>
        </w:rPr>
        <w:t>m)</w:t>
      </w:r>
      <w:r w:rsidRPr="00646A9F">
        <w:rPr>
          <w:sz w:val="24"/>
          <w:szCs w:val="24"/>
        </w:rPr>
        <w:t xml:space="preserve"> ovvero per  nuovi </w:t>
      </w:r>
      <w:r w:rsidRPr="00646A9F">
        <w:rPr>
          <w:b/>
          <w:bCs/>
          <w:sz w:val="24"/>
          <w:szCs w:val="24"/>
        </w:rPr>
        <w:t xml:space="preserve">finanziamenti </w:t>
      </w:r>
      <w:r w:rsidRPr="00646A9F">
        <w:rPr>
          <w:sz w:val="24"/>
          <w:szCs w:val="24"/>
        </w:rPr>
        <w:t xml:space="preserve">di valore massimo pari ad </w:t>
      </w:r>
      <w:r w:rsidRPr="00646A9F">
        <w:rPr>
          <w:b/>
          <w:bCs/>
          <w:sz w:val="24"/>
          <w:szCs w:val="24"/>
        </w:rPr>
        <w:t>€ 25.000,00</w:t>
      </w:r>
      <w:r w:rsidRPr="00646A9F">
        <w:rPr>
          <w:sz w:val="24"/>
          <w:szCs w:val="24"/>
        </w:rPr>
        <w:t xml:space="preserve"> garantiti nella misura del </w:t>
      </w:r>
      <w:r w:rsidRPr="00646A9F">
        <w:rPr>
          <w:b/>
          <w:bCs/>
          <w:sz w:val="24"/>
          <w:szCs w:val="24"/>
        </w:rPr>
        <w:t>100%</w:t>
      </w:r>
      <w:r w:rsidRPr="00646A9F">
        <w:rPr>
          <w:sz w:val="24"/>
          <w:szCs w:val="24"/>
        </w:rPr>
        <w:t xml:space="preserve"> nel limite  del </w:t>
      </w:r>
      <w:r w:rsidRPr="00646A9F">
        <w:rPr>
          <w:b/>
          <w:bCs/>
          <w:sz w:val="24"/>
          <w:szCs w:val="24"/>
        </w:rPr>
        <w:t>25%</w:t>
      </w:r>
      <w:r w:rsidRPr="00646A9F">
        <w:rPr>
          <w:sz w:val="24"/>
          <w:szCs w:val="24"/>
        </w:rPr>
        <w:t xml:space="preserve"> dell’ammontare dei ricavi.</w:t>
      </w:r>
    </w:p>
    <w:p w:rsidR="00B857CB" w:rsidRPr="00646A9F" w:rsidRDefault="00435344">
      <w:pPr>
        <w:pStyle w:val="Paragrafoelenco"/>
        <w:numPr>
          <w:ilvl w:val="0"/>
          <w:numId w:val="1"/>
        </w:numPr>
        <w:jc w:val="both"/>
        <w:rPr>
          <w:b/>
          <w:bCs/>
          <w:sz w:val="24"/>
          <w:szCs w:val="24"/>
        </w:rPr>
      </w:pPr>
      <w:r w:rsidRPr="00646A9F">
        <w:rPr>
          <w:sz w:val="24"/>
          <w:szCs w:val="24"/>
        </w:rPr>
        <w:t xml:space="preserve">La lettera </w:t>
      </w:r>
      <w:r w:rsidRPr="00646A9F">
        <w:rPr>
          <w:b/>
          <w:bCs/>
          <w:sz w:val="24"/>
          <w:szCs w:val="24"/>
        </w:rPr>
        <w:t>g)</w:t>
      </w:r>
      <w:r w:rsidRPr="00646A9F">
        <w:rPr>
          <w:sz w:val="24"/>
          <w:szCs w:val="24"/>
        </w:rPr>
        <w:t xml:space="preserve"> infatti recita nella parte finale: </w:t>
      </w:r>
      <w:r w:rsidRPr="00646A9F">
        <w:rPr>
          <w:b/>
          <w:bCs/>
          <w:sz w:val="24"/>
          <w:szCs w:val="24"/>
        </w:rPr>
        <w:t xml:space="preserve">Sono in ogni caso escluse le imprese che presentano esposizioni classificate come sofferenze ai sensi della disciplina bancaria (escludendo artisti e professionisti). </w:t>
      </w:r>
    </w:p>
    <w:p w:rsidR="00B857CB" w:rsidRPr="00646A9F" w:rsidRDefault="00435344">
      <w:pPr>
        <w:pStyle w:val="Paragrafoelenco"/>
        <w:numPr>
          <w:ilvl w:val="0"/>
          <w:numId w:val="1"/>
        </w:numPr>
        <w:jc w:val="both"/>
        <w:rPr>
          <w:b/>
          <w:bCs/>
          <w:sz w:val="24"/>
          <w:szCs w:val="24"/>
        </w:rPr>
      </w:pPr>
      <w:r w:rsidRPr="00646A9F">
        <w:rPr>
          <w:sz w:val="24"/>
          <w:szCs w:val="24"/>
        </w:rPr>
        <w:t>La lettera m) nella parte finale recita</w:t>
      </w:r>
      <w:r w:rsidRPr="00646A9F">
        <w:rPr>
          <w:b/>
          <w:bCs/>
          <w:sz w:val="24"/>
          <w:szCs w:val="24"/>
        </w:rPr>
        <w:t xml:space="preserve">: In favore di tali soggetti beneficiari l’intervento del Fondo Centrale di Garanzia per le piccole e medie imprese è concesso automaticamente, gratuitamente e senza valutazione e il soggetto finanziatore eroga il finanziamento coperto dalla garanzia del Fondo, subordinatamente alla </w:t>
      </w:r>
      <w:r w:rsidRPr="00646A9F">
        <w:rPr>
          <w:b/>
          <w:bCs/>
          <w:sz w:val="24"/>
          <w:szCs w:val="24"/>
          <w:u w:val="single"/>
        </w:rPr>
        <w:t>verifica formale</w:t>
      </w:r>
      <w:r w:rsidRPr="00646A9F">
        <w:rPr>
          <w:b/>
          <w:bCs/>
          <w:sz w:val="24"/>
          <w:szCs w:val="24"/>
        </w:rPr>
        <w:t xml:space="preserve"> (</w:t>
      </w:r>
      <w:r w:rsidRPr="00646A9F">
        <w:rPr>
          <w:b/>
          <w:bCs/>
          <w:sz w:val="24"/>
          <w:szCs w:val="24"/>
          <w:u w:val="single"/>
        </w:rPr>
        <w:t>e non sostanziale</w:t>
      </w:r>
      <w:r w:rsidRPr="00646A9F">
        <w:rPr>
          <w:b/>
          <w:bCs/>
          <w:sz w:val="24"/>
          <w:szCs w:val="24"/>
        </w:rPr>
        <w:t>) del possesso dei requisiti, senza attendere l’esito definitivo dell’istruttoria da parte del gestore del Fondo medesimo.</w:t>
      </w:r>
    </w:p>
    <w:p w:rsidR="00B857CB" w:rsidRPr="00646A9F" w:rsidRDefault="00B857CB">
      <w:pPr>
        <w:pStyle w:val="Paragrafoelenco"/>
        <w:jc w:val="both"/>
        <w:rPr>
          <w:b/>
          <w:bCs/>
          <w:sz w:val="24"/>
          <w:szCs w:val="24"/>
        </w:rPr>
      </w:pPr>
    </w:p>
    <w:p w:rsidR="00B857CB" w:rsidRPr="00646A9F" w:rsidRDefault="00435344">
      <w:pPr>
        <w:jc w:val="both"/>
        <w:rPr>
          <w:b/>
          <w:bCs/>
          <w:sz w:val="24"/>
          <w:szCs w:val="24"/>
        </w:rPr>
      </w:pPr>
      <w:r w:rsidRPr="00646A9F">
        <w:rPr>
          <w:b/>
          <w:bCs/>
          <w:sz w:val="24"/>
          <w:szCs w:val="24"/>
        </w:rPr>
        <w:t xml:space="preserve">Detto ciò risulta errato applicare quanto disposto dalla lettera g) a quanto disposto dalla lettera m) in quanto il soggetto finanziatore rischia di violare la norma di legge con grave pregiudizio del soggetto colpito dal COVID-19) nel momento in cui procede ad effettuare una vera e propria istruttoria di carattere sostanziale e non meramente formale. In sostanza si rischia di far naufragare quanto contenuto nella lettera m) (avente quest’ultima vita giuridica autonoma) attraverso l’esercizio di un potere discrezionale del soggetto finanziatore non previsto nella norma. Del resto l’eccezionalità di tale norma, derogante la stessa alle procedure ordinarie di natura bancaria, è congenita alla straordinarietà dell’evento epidemiologico imponderabile ed imprevedibile. </w:t>
      </w:r>
    </w:p>
    <w:p w:rsidR="00646A9F" w:rsidRPr="00646A9F" w:rsidRDefault="00646A9F" w:rsidP="00646A9F">
      <w:pPr>
        <w:autoSpaceDE w:val="0"/>
        <w:autoSpaceDN w:val="0"/>
        <w:adjustRightInd w:val="0"/>
        <w:jc w:val="both"/>
        <w:rPr>
          <w:b/>
          <w:bCs/>
          <w:sz w:val="24"/>
          <w:szCs w:val="24"/>
          <w:u w:val="single"/>
        </w:rPr>
      </w:pPr>
      <w:r w:rsidRPr="00646A9F">
        <w:rPr>
          <w:sz w:val="24"/>
          <w:szCs w:val="24"/>
        </w:rPr>
        <w:t>Vi invit</w:t>
      </w:r>
      <w:r w:rsidRPr="00646A9F">
        <w:rPr>
          <w:sz w:val="24"/>
          <w:szCs w:val="24"/>
        </w:rPr>
        <w:t>iam</w:t>
      </w:r>
      <w:r w:rsidRPr="00646A9F">
        <w:rPr>
          <w:sz w:val="24"/>
          <w:szCs w:val="24"/>
        </w:rPr>
        <w:t>o, comunque, a contattare i ns. Uffici per maggiori informazioni.</w:t>
      </w:r>
    </w:p>
    <w:p w:rsidR="00B857CB" w:rsidRPr="00646A9F" w:rsidRDefault="00646A9F" w:rsidP="00646A9F">
      <w:pPr>
        <w:autoSpaceDE w:val="0"/>
        <w:autoSpaceDN w:val="0"/>
        <w:adjustRightInd w:val="0"/>
        <w:jc w:val="both"/>
        <w:rPr>
          <w:b/>
          <w:bCs/>
          <w:sz w:val="24"/>
          <w:szCs w:val="24"/>
          <w:u w:val="single"/>
        </w:rPr>
      </w:pPr>
      <w:r w:rsidRPr="00646A9F">
        <w:rPr>
          <w:sz w:val="24"/>
          <w:szCs w:val="24"/>
        </w:rPr>
        <w:t>I migliori saluti.</w:t>
      </w:r>
    </w:p>
    <w:p w:rsidR="00435344" w:rsidRDefault="00435344">
      <w:pPr>
        <w:jc w:val="both"/>
        <w:rPr>
          <w:b/>
          <w:bCs/>
          <w:sz w:val="24"/>
          <w:szCs w:val="24"/>
        </w:rPr>
      </w:pPr>
    </w:p>
    <w:p w:rsidR="00B857CB" w:rsidRPr="00646A9F" w:rsidRDefault="00435344">
      <w:pPr>
        <w:jc w:val="both"/>
        <w:rPr>
          <w:bCs/>
        </w:rPr>
      </w:pPr>
      <w:r w:rsidRPr="00646A9F">
        <w:rPr>
          <w:bCs/>
        </w:rPr>
        <w:t>SERGIO IACONI DOTTORE COMMERCIALISTA</w:t>
      </w:r>
    </w:p>
    <w:p w:rsidR="00B857CB" w:rsidRPr="00646A9F" w:rsidRDefault="00435344">
      <w:pPr>
        <w:jc w:val="both"/>
        <w:rPr>
          <w:bCs/>
        </w:rPr>
      </w:pPr>
      <w:r w:rsidRPr="00646A9F">
        <w:rPr>
          <w:bCs/>
        </w:rPr>
        <w:t>REVISORE DEI CONTI DOCENTE FORMATIVO   </w:t>
      </w:r>
    </w:p>
    <w:p w:rsidR="00B857CB" w:rsidRPr="00646A9F" w:rsidRDefault="00646A9F">
      <w:pPr>
        <w:jc w:val="both"/>
        <w:rPr>
          <w:bCs/>
        </w:rPr>
      </w:pPr>
      <w:r w:rsidRPr="00646A9F">
        <w:rPr>
          <w:bCs/>
        </w:rPr>
        <w:t xml:space="preserve">TEL 329.6523672 - TEL 085.8025177 - </w:t>
      </w:r>
      <w:r w:rsidR="00435344" w:rsidRPr="00646A9F">
        <w:rPr>
          <w:bCs/>
        </w:rPr>
        <w:t xml:space="preserve">EMAIL </w:t>
      </w:r>
      <w:hyperlink r:id="rId7" w:history="1">
        <w:r w:rsidR="00435344" w:rsidRPr="00646A9F">
          <w:rPr>
            <w:rStyle w:val="Collegamentoipertestuale"/>
            <w:bCs/>
            <w:color w:val="auto"/>
            <w:u w:val="none"/>
          </w:rPr>
          <w:t>sergioiaconi@live.it</w:t>
        </w:r>
      </w:hyperlink>
      <w:r w:rsidRPr="00646A9F">
        <w:rPr>
          <w:bCs/>
        </w:rPr>
        <w:t xml:space="preserve"> - </w:t>
      </w:r>
      <w:r w:rsidR="00435344" w:rsidRPr="00646A9F">
        <w:rPr>
          <w:bCs/>
        </w:rPr>
        <w:t xml:space="preserve">PEC </w:t>
      </w:r>
      <w:hyperlink r:id="rId8" w:history="1">
        <w:r w:rsidR="00435344" w:rsidRPr="00646A9F">
          <w:rPr>
            <w:rStyle w:val="Collegamentoipertestuale"/>
            <w:bCs/>
            <w:color w:val="auto"/>
            <w:u w:val="none"/>
          </w:rPr>
          <w:t>sergioiaconi1@legalmail.it</w:t>
        </w:r>
      </w:hyperlink>
      <w:r w:rsidR="00435344" w:rsidRPr="00646A9F">
        <w:rPr>
          <w:bCs/>
        </w:rPr>
        <w:t xml:space="preserve"> </w:t>
      </w:r>
    </w:p>
    <w:sectPr w:rsidR="00B857CB" w:rsidRPr="00646A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4085"/>
    <w:multiLevelType w:val="hybridMultilevel"/>
    <w:tmpl w:val="E75A26C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CB"/>
    <w:rsid w:val="00435344"/>
    <w:rsid w:val="00646A9F"/>
    <w:rsid w:val="00B85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9CA33-A1D0-45CC-9E0B-50714E90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style>
  <w:style w:type="character" w:styleId="Collegamentoipertestuale">
    <w:name w:val="Hyperlink"/>
    <w:basedOn w:val="Carpredefinitoparagrafo"/>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3016">
      <w:bodyDiv w:val="1"/>
      <w:marLeft w:val="0"/>
      <w:marRight w:val="0"/>
      <w:marTop w:val="0"/>
      <w:marBottom w:val="0"/>
      <w:divBdr>
        <w:top w:val="none" w:sz="0" w:space="0" w:color="auto"/>
        <w:left w:val="none" w:sz="0" w:space="0" w:color="auto"/>
        <w:bottom w:val="none" w:sz="0" w:space="0" w:color="auto"/>
        <w:right w:val="none" w:sz="0" w:space="0" w:color="auto"/>
      </w:divBdr>
    </w:div>
    <w:div w:id="144261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iaconi1@legalmail.it" TargetMode="External"/><Relationship Id="rId3" Type="http://schemas.openxmlformats.org/officeDocument/2006/relationships/settings" Target="settings.xml"/><Relationship Id="rId7" Type="http://schemas.openxmlformats.org/officeDocument/2006/relationships/hyperlink" Target="mailto:sergioiaconi@liv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vocato" TargetMode="External"/><Relationship Id="rId5" Type="http://schemas.openxmlformats.org/officeDocument/2006/relationships/hyperlink" Target="mailto:avvemanueleargento@pec.giuffr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iaconi</dc:creator>
  <cp:lastModifiedBy>Utente</cp:lastModifiedBy>
  <cp:revision>3</cp:revision>
  <cp:lastPrinted>2020-04-23T11:33:00Z</cp:lastPrinted>
  <dcterms:created xsi:type="dcterms:W3CDTF">2020-04-24T10:14:00Z</dcterms:created>
  <dcterms:modified xsi:type="dcterms:W3CDTF">2020-04-24T10:19:00Z</dcterms:modified>
</cp:coreProperties>
</file>